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47B" w:rsidRDefault="003D247B" w:rsidP="003D247B">
      <w:pPr>
        <w:tabs>
          <w:tab w:val="left" w:pos="4080"/>
        </w:tabs>
        <w:jc w:val="right"/>
        <w:rPr>
          <w:rStyle w:val="Domylnaczcionkaakapitu1"/>
          <w:rFonts w:ascii="Times New Roman" w:hAnsi="Times New Roman"/>
          <w:b/>
        </w:rPr>
      </w:pPr>
      <w:r w:rsidRPr="003D247B">
        <w:rPr>
          <w:rFonts w:ascii="Arial" w:eastAsia="Times New Roman" w:hAnsi="Arial"/>
          <w:kern w:val="3"/>
          <w:sz w:val="20"/>
          <w:szCs w:val="20"/>
        </w:rPr>
        <w:t>Załącznik Nr … do Zad. Nr 1</w:t>
      </w:r>
      <w:r w:rsidR="00CF0E02">
        <w:rPr>
          <w:rFonts w:ascii="Arial" w:eastAsia="Times New Roman" w:hAnsi="Arial"/>
          <w:b/>
          <w:kern w:val="3"/>
          <w:sz w:val="20"/>
          <w:szCs w:val="20"/>
        </w:rPr>
        <w:t>4</w:t>
      </w:r>
    </w:p>
    <w:p w:rsidR="009E21C4" w:rsidRPr="007271A8" w:rsidRDefault="009E21C4" w:rsidP="009E21C4">
      <w:pPr>
        <w:tabs>
          <w:tab w:val="left" w:pos="4080"/>
        </w:tabs>
        <w:jc w:val="center"/>
        <w:rPr>
          <w:rStyle w:val="Domylnaczcionkaakapitu1"/>
          <w:rFonts w:ascii="Times New Roman" w:hAnsi="Times New Roman"/>
          <w:b/>
        </w:rPr>
      </w:pPr>
      <w:r w:rsidRPr="007271A8">
        <w:rPr>
          <w:rStyle w:val="Domylnaczcionkaakapitu1"/>
          <w:rFonts w:ascii="Times New Roman" w:hAnsi="Times New Roman"/>
          <w:b/>
        </w:rPr>
        <w:t xml:space="preserve">Zestawienie parametrów techniczno-użytkowych przedmiotu zamówienia </w:t>
      </w:r>
    </w:p>
    <w:p w:rsidR="009E21C4" w:rsidRPr="003D247B" w:rsidRDefault="009E21C4" w:rsidP="009E21C4">
      <w:pPr>
        <w:tabs>
          <w:tab w:val="left" w:pos="1632"/>
        </w:tabs>
        <w:ind w:right="-2"/>
        <w:rPr>
          <w:rFonts w:ascii="Times New Roman" w:eastAsia="BookmanOldStyle" w:hAnsi="Times New Roman"/>
          <w:b/>
          <w:bCs/>
        </w:rPr>
      </w:pPr>
      <w:r w:rsidRPr="007271A8">
        <w:rPr>
          <w:rFonts w:ascii="Times New Roman" w:eastAsia="Arial Unicode MS" w:hAnsi="Times New Roman"/>
          <w:sz w:val="20"/>
          <w:szCs w:val="20"/>
          <w:lang w:eastAsia="ar-SA"/>
        </w:rPr>
        <w:t xml:space="preserve">    1. Pełna nazwa urządzenia: </w:t>
      </w:r>
      <w:r w:rsidRPr="003D247B">
        <w:rPr>
          <w:rFonts w:ascii="Times New Roman" w:eastAsia="Arial Unicode MS" w:hAnsi="Times New Roman"/>
          <w:b/>
          <w:lang w:eastAsia="ar-SA"/>
        </w:rPr>
        <w:t>Kolumna anestezjologiczna dla SOR</w:t>
      </w:r>
      <w:r w:rsidR="00AF712F" w:rsidRPr="003D247B">
        <w:rPr>
          <w:rFonts w:ascii="Times New Roman" w:eastAsia="Arial Unicode MS" w:hAnsi="Times New Roman"/>
          <w:b/>
          <w:lang w:eastAsia="ar-SA"/>
        </w:rPr>
        <w:t xml:space="preserve"> </w:t>
      </w:r>
      <w:r w:rsidRPr="003D247B">
        <w:rPr>
          <w:rFonts w:ascii="Times New Roman" w:eastAsia="Arial Unicode MS" w:hAnsi="Times New Roman"/>
          <w:b/>
          <w:lang w:eastAsia="ar-SA"/>
        </w:rPr>
        <w:t>– 2 szt</w:t>
      </w:r>
      <w:r w:rsidRPr="003D247B">
        <w:rPr>
          <w:rFonts w:ascii="Times New Roman" w:eastAsia="Arial Unicode MS" w:hAnsi="Times New Roman"/>
          <w:lang w:eastAsia="ar-SA"/>
        </w:rPr>
        <w:t>.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2. Typ, model (podać):………………………………………………</w:t>
      </w:r>
    </w:p>
    <w:p w:rsidR="009E21C4" w:rsidRPr="007271A8" w:rsidRDefault="009E21C4" w:rsidP="009E21C4">
      <w:pPr>
        <w:rPr>
          <w:rFonts w:ascii="Times New Roman" w:hAnsi="Times New Roman"/>
          <w:b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3. Producent (podać):……………………………………………….</w:t>
      </w:r>
    </w:p>
    <w:p w:rsidR="009E21C4" w:rsidRPr="007271A8" w:rsidRDefault="009E21C4" w:rsidP="009E21C4">
      <w:pPr>
        <w:rPr>
          <w:rFonts w:ascii="Times New Roman" w:hAnsi="Times New Roman"/>
          <w:sz w:val="20"/>
          <w:szCs w:val="20"/>
        </w:rPr>
      </w:pPr>
      <w:r w:rsidRPr="007271A8">
        <w:rPr>
          <w:rFonts w:ascii="Times New Roman" w:hAnsi="Times New Roman"/>
          <w:sz w:val="20"/>
          <w:szCs w:val="20"/>
        </w:rPr>
        <w:t xml:space="preserve">    4. Rok produkcji: </w:t>
      </w:r>
      <w:r>
        <w:rPr>
          <w:rFonts w:ascii="Times New Roman" w:hAnsi="Times New Roman"/>
          <w:sz w:val="20"/>
          <w:szCs w:val="20"/>
        </w:rPr>
        <w:t>2018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36"/>
        <w:gridCol w:w="1270"/>
        <w:gridCol w:w="2312"/>
        <w:gridCol w:w="1979"/>
      </w:tblGrid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Parametry</w:t>
            </w:r>
            <w:r w:rsidRPr="00BD6459">
              <w:rPr>
                <w:rFonts w:ascii="Times New Roman" w:hAnsi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2312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oferowane Tak/Nie </w:t>
            </w: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>podać/opisać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6459">
              <w:rPr>
                <w:rFonts w:ascii="Times New Roman" w:hAnsi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Urządzenie łatwe w utrzymaniu czystości - gładkie powierzchnie bez wystających wkrętów i innych elementów połączeniowych, kształty zaokrąglone, bez ostrych krawędzi i kantów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Możliwość wcześniejszego wstępnego montażu elementów stropowych wraz z przyłączami mediów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Zestaw przyłączy elektryczno – gazowych w formie płyty interfejsowej. Przyłącza na płycie podłączane do instalacji szpitalnej na twardy lut. Kolumna przyłączana do płyty interfejsowej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szybkozłączmi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>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Kąt obrotu każdego przegubu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głowicy 335° ± 5°.  Możliwość ograniczania kąta obrotu ramion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co 12-15°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D751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Wszystkie przeguby ramion wyposażone w hamulce mechaniczne zwalniane pneumatycznie ze sterowaniem elektropneumatycznym (oś główna i na łamaniu ramienia) i cierne (ramie/konsola kolumny). Konstrukcja hamulców musi zapewniać stabilne zatrzymanie kolumny w przypadku braku sprężonego powietrza, musi także umożliwiać poruszenie kolumną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takiej sytuacji przy użyciu zwiększonej siły manewrowania (opór hamulców musi mieć możliwość regulacji serwisowej).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Przeguby osi głównej i ramion wyposażone  w wyraźne kolorystyczne oznaczenie przegubów (naniesione na dolne, poziome powierzchnie ramion lub ich końcówki), z którymi koresponduje wyraźne, kolorystyczne oznaczenie uruchamianych przegubów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na przyciskach sterowniczych.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Wszystkie gniazda gazowe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i elektryczne umieszczone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 pionowej konsoli nośnej,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łatwym dostępem.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Profil ramion wykonany ze stopu metali lekkich. Dla zachowania odpowiedniej sztywności ramie wzmacniane wewnętrznie;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przekroju parami dwuwypukło-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dwupłaskie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o kształcie trapezu równoramiennego krótszą podstawą ku podłodze lub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o przekroju eliptycznym.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Nie dopuszcza się ramion prostokątnych.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Dla uzyskania maksymalnej ergonomii rozmieszczenia sprzętu łączny zasięg ramienia 1540 mm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± 5%. Pierwsza z  dwóch części ramienia składających się na podaną powyżej długość łączną długości 900 mm ± 5% a druga 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 dwóch części ramienia składających się na podaną powyżej długość łączną długości 600 mm ± 5%;  Wszystkie długości mierzone od osi do osi odpowiednich łożysk.</w:t>
            </w:r>
          </w:p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Dopuszcza się kolumnę z ramieniem 1000mm+750mm.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Ramię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900 mm ± 5% oraz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600 mm ± 5% 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- 10 pkt</w:t>
            </w:r>
          </w:p>
          <w:p w:rsidR="009E21C4" w:rsidRDefault="009E21C4" w:rsidP="009E21C4">
            <w:pPr>
              <w:snapToGrid w:val="0"/>
              <w:jc w:val="center"/>
              <w:rPr>
                <w:rFonts w:ascii="Arial" w:hAnsi="Arial" w:cs="Arial"/>
                <w:spacing w:val="-4"/>
                <w:sz w:val="18"/>
                <w:szCs w:val="20"/>
              </w:rPr>
            </w:pP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Ramie 1000mm 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+ 750mm – 0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pkt</w:t>
            </w:r>
          </w:p>
        </w:tc>
      </w:tr>
      <w:tr w:rsidR="009E21C4" w:rsidRPr="00BD6459" w:rsidTr="001F5A3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Funkcja samodzielnej aranżacji układu gniazd elektrycznych przez użytkownika (bez udziału serwisu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działu technicznego) realizowana poprzez przełożenie paneli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z gniazdami pomiędzy ścianami bocznymi i tylną konsoli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natychmiastowym zapewnieniem zasilania.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TAK-10pkt</w:t>
            </w: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NIE-0pkt</w:t>
            </w:r>
          </w:p>
        </w:tc>
      </w:tr>
      <w:tr w:rsidR="009E21C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72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Gniazda gazów medycznych zgodne z PN-EN ISO 9170-1,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PN-EN ISO 9170-2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AF712F" w:rsidRPr="00AF712F">
              <w:rPr>
                <w:rFonts w:ascii="Arial" w:hAnsi="Arial" w:cs="Arial"/>
                <w:i/>
                <w:spacing w:val="-4"/>
                <w:sz w:val="18"/>
                <w:szCs w:val="18"/>
              </w:rPr>
              <w:t>lub normą równoważną</w:t>
            </w:r>
            <w:r w:rsidRPr="00AF712F">
              <w:rPr>
                <w:rFonts w:ascii="Arial" w:hAnsi="Arial" w:cs="Arial"/>
                <w:i/>
                <w:spacing w:val="-4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typ</w:t>
            </w:r>
            <w:r w:rsidR="00940B4A">
              <w:rPr>
                <w:rFonts w:ascii="Arial" w:hAnsi="Arial" w:cs="Arial"/>
                <w:spacing w:val="-4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AGA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System z kolumną (konsolą) nośną o przekroju nie większym niż 300mm ± 10% x 300 ± 10% mm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i wysokości min. 1500 mm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Udźwig jednostki netto min. 200 kg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520D78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1 x pólka z 2 znormalizowanymi szynami bocznymi i zintegrowaną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nią szufladą. Półka o wymiarach 530mm x 480mm.</w:t>
            </w:r>
          </w:p>
          <w:p w:rsidR="009E21C4" w:rsidRDefault="009E21C4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Półki o kształtach zaokrąglonych, bez ostrych krawędzi i kantów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– 2 ochraniacze z elastycznego tworzywa sztucznego zabezpieczające tylną końcówkę szyny bocznej. Frontowe końcówki szyn bocznych zabezpieczone zintegrowanymi z nimi końcówkami rączek do sterowania i pozycjonowania opisanymi poniżej. Do oferty dołączyć zdjęcie z oryginalnego powszechnie dostępnego (na stronie internetowej) folderu producenta. </w:t>
            </w:r>
          </w:p>
          <w:p w:rsidR="009E21C4" w:rsidRDefault="009E21C4">
            <w:pPr>
              <w:pStyle w:val="Standard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Udźwig półki min. 80 kg.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Półka wyposażona w umieszczone skrajnie na  lewym i prawym narożniku  uchwyty wykonane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 całości z tworzywa sztucznego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 kolorze nie czarnym (pożądany kolor – dowolny odcień niebieskiego, błękit) lub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rękojeścią metalową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. 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Uchwyty muszą zawierać w sobie, oznaczone kolorystycznie, przyciski do pozycjonowania jednostki (zwalnianie hamulców pneumatycznych). Nie dopuszcza się szyny frontowej ani żadnych elementów łączących uchwyty.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Półka z regulacją ustawienia na dowolnej wysokości konsoli co najmniej na froncie konsoli (pożądana możliwość mocowania do wszystkich 4 ścian).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 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Ustawienie półki na 4 ścianach – 10 pkt.</w:t>
            </w: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Ustawianie półki tylko na froncie – 0pkt.</w:t>
            </w:r>
          </w:p>
        </w:tc>
      </w:tr>
      <w:tr w:rsidR="009E21C4" w:rsidRPr="00BD6459" w:rsidTr="00C72061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Mocowanie półek za pomocą mechanizmu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lub do szyny 25x10mm. Możliwość regulacji wysokości z krokiem 25 mm ± 20% lub płynna, nie skokowa.</w:t>
            </w:r>
          </w:p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Przełożenie półki zapewnia</w:t>
            </w:r>
            <w:r w:rsidR="00E440D2">
              <w:rPr>
                <w:rFonts w:ascii="Arial" w:hAnsi="Arial" w:cs="Arial"/>
                <w:spacing w:val="-4"/>
                <w:sz w:val="20"/>
                <w:szCs w:val="20"/>
              </w:rPr>
              <w:t>jące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sterowanie przegubami w każdym położeniu półki na froncie i na plecach konsoli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  <w:r w:rsidRPr="00BD6459"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pacing w:val="-4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półek za pomocą mechanizmu </w:t>
            </w:r>
            <w:proofErr w:type="spellStart"/>
            <w:r>
              <w:rPr>
                <w:rFonts w:ascii="Arial" w:hAnsi="Arial" w:cs="Arial"/>
                <w:spacing w:val="-4"/>
                <w:sz w:val="18"/>
                <w:szCs w:val="20"/>
              </w:rPr>
              <w:t>szybkozatrzaskowego</w:t>
            </w:r>
            <w:proofErr w:type="spellEnd"/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 – 20 pkt.</w:t>
            </w: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Mocowanie do szyny na froncie głowicy 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– 0 pkt</w:t>
            </w:r>
          </w:p>
        </w:tc>
      </w:tr>
      <w:tr w:rsidR="009E21C4" w:rsidRPr="00BD6459" w:rsidTr="00410860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 w:rsidP="00AF712F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Dodatkowy, zamontowany na plecach konsoli zestaw sterowniczy kolumny: dwa zorientowane pionowo, równolegle do prawej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lewej krawędzi konsoli (równolegle do osi długiej konsoli); umieszczone na plecach konsoli uchwyty do pozycjonowania kolumny i sterowania hamulcami. Uchwyty powinny być przenoszone i wpinane w taki sposób, aby możliwe było ich rozlokowanie przez użytkownika, w  dowolnej chwili, wzdłuż całej długości konsoli od góry do dołu konsoli na plecach konsoli i ścianach bocznych konsoli (ale z wyłączeniem lokalizacji kolidujących z półką i innymi elementami kolumny).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Wpięcie uchwytu w system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szybkozatrzaskowy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zapewnia</w:t>
            </w:r>
            <w:r w:rsidR="00E440D2">
              <w:rPr>
                <w:rFonts w:ascii="Arial" w:hAnsi="Arial" w:cs="Arial"/>
                <w:spacing w:val="-4"/>
                <w:sz w:val="20"/>
                <w:szCs w:val="20"/>
              </w:rPr>
              <w:t xml:space="preserve">jący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jego automatyczne podłączenie do systemu sterowania hamulcami.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Uchwyty przenoszone jak opisano – 10 pkt</w:t>
            </w: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Uchwyty innego typu – 0 pkt.</w:t>
            </w:r>
          </w:p>
        </w:tc>
      </w:tr>
      <w:tr w:rsidR="009E21C4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Kolumna wyposażona w windę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z mocowaniem typu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Drager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Holder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M (</w:t>
            </w:r>
            <w:r w:rsidRPr="00AF712F">
              <w:rPr>
                <w:rFonts w:ascii="Arial" w:hAnsi="Arial" w:cs="Arial"/>
                <w:i/>
                <w:spacing w:val="-4"/>
                <w:sz w:val="18"/>
                <w:szCs w:val="18"/>
              </w:rPr>
              <w:t>lub równoważne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np. Pendant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Kreuzer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>). Uchwyt sprzęga</w:t>
            </w:r>
            <w:r w:rsidR="00E440D2">
              <w:rPr>
                <w:rFonts w:ascii="Arial" w:hAnsi="Arial" w:cs="Arial"/>
                <w:spacing w:val="-4"/>
                <w:sz w:val="20"/>
                <w:szCs w:val="20"/>
              </w:rPr>
              <w:t xml:space="preserve">jący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aparat mechanicznie z kontrolą elektroniczną  zawieszenia jednak – ze względów bezpieczeństwa - nie może przyłączać automatycznie mediów w tym gazów wybuchowych (O2 i N2O)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sieci elektrycznej.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262146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 w:rsidP="00E440D2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Winda zrealizowana lub jako mechanizm unoszący całą głowicę (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tj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umieszczony pomiędzy końcowym ramieniem a konsolą)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i osłonięty miechem karbowanym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w kolorze szarym, białym lub kremowym (zharmonizowany w ten sposób z kolorem ramienia) lub jako uchwyt poruszający się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w pionowych prowadnicach zintegrowanych ze ścianą frontową głowicy (mechanizm napędzający windę ukryty wewnątrz głowicy).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>Tak/podać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Default="009E21C4" w:rsidP="009E21C4">
            <w:pPr>
              <w:snapToGrid w:val="0"/>
              <w:jc w:val="center"/>
              <w:rPr>
                <w:rFonts w:ascii="Arial" w:eastAsia="Times New Roman" w:hAnsi="Arial" w:cs="Arial"/>
                <w:spacing w:val="-4"/>
                <w:sz w:val="18"/>
                <w:szCs w:val="20"/>
                <w:lang w:eastAsia="ar-SA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Winda jako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 xml:space="preserve">uchwyt poruszający się 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w pionowych prowadnicach zintegrowanych ze ścianą frontową głowicy – 10 pkt.</w:t>
            </w:r>
          </w:p>
          <w:p w:rsidR="009E21C4" w:rsidRPr="00BD6459" w:rsidRDefault="009E21C4" w:rsidP="009E21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 Winda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jako mechanizm unoszący całą głowicę – 0</w:t>
            </w:r>
            <w:r w:rsidR="00AF712F">
              <w:rPr>
                <w:rFonts w:ascii="Arial" w:hAnsi="Arial" w:cs="Arial"/>
                <w:spacing w:val="-4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20"/>
              </w:rPr>
              <w:t>pkt</w:t>
            </w: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tabs>
                <w:tab w:val="left" w:pos="-70"/>
              </w:tabs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Kolumna wyposażona w 1x drążek do mocowania min. 4 butli infuzyjnych, z możliwością zmiany wysokości położenia butli,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o min. długoś</w:t>
            </w:r>
            <w:r w:rsidR="00E440D2">
              <w:rPr>
                <w:rFonts w:ascii="Arial" w:hAnsi="Arial" w:cs="Arial"/>
                <w:spacing w:val="-4"/>
                <w:sz w:val="20"/>
                <w:szCs w:val="20"/>
              </w:rPr>
              <w:t xml:space="preserve">ci 1000 mm +/- 100 mm wyposażona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w 2 ramiona przegubowe.  Wieszak w formie haków mocowanych do listwy wszystkie po jednej  jej stronie.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tlen min. 2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sprężone powietrze min. 2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próżnia min. 2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podtlenek azotu min. 1 na plecach głowicy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odciąg gazów </w:t>
            </w:r>
            <w:proofErr w:type="spellStart"/>
            <w:r>
              <w:rPr>
                <w:rFonts w:ascii="Arial" w:hAnsi="Arial" w:cs="Arial"/>
                <w:spacing w:val="-4"/>
                <w:sz w:val="20"/>
                <w:szCs w:val="20"/>
              </w:rPr>
              <w:t>poanestetycznych</w:t>
            </w:r>
            <w:proofErr w:type="spellEnd"/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inżektorem min. 1 na plecach głowicy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gniazdo elektryczne 230 V, 50Hz 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z bolcem ochronnym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>gniazdo wyrównania potencjałów min. 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Gniazda teletechniczne RJ 45 </w:t>
            </w:r>
            <w:r w:rsidR="00AF712F">
              <w:rPr>
                <w:rFonts w:ascii="Arial" w:hAnsi="Arial" w:cs="Arial"/>
                <w:spacing w:val="-4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min. 4 (dopuszcza się jedną puszkę z podwójnym insertem)</w:t>
            </w:r>
          </w:p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Przygotowanie pod 2x gniazda teleinformatyczne 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327737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9E21C4" w:rsidRDefault="009E21C4">
            <w:pPr>
              <w:pStyle w:val="Standard"/>
              <w:snapToGrid w:val="0"/>
              <w:spacing w:line="260" w:lineRule="exact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Schowek na nadmiar przewodów x1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Default="009E21C4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9331" w:type="dxa"/>
            <w:gridSpan w:val="5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835">
              <w:rPr>
                <w:rFonts w:ascii="Times New Roman" w:hAnsi="Times New Roman"/>
                <w:b/>
                <w:sz w:val="20"/>
                <w:szCs w:val="20"/>
              </w:rPr>
              <w:t>Szkolenie i warunki gwarancji</w:t>
            </w: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Instrukcja obsługi w języku polskim.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Instalacja sprzętu wraz ze szkoleniem personelu u Zamawiającego w cenie oferty.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Okres gwarancji – </w:t>
            </w:r>
            <w:r>
              <w:rPr>
                <w:rFonts w:ascii="Times New Roman" w:hAnsi="Times New Roman"/>
                <w:sz w:val="20"/>
                <w:szCs w:val="20"/>
              </w:rPr>
              <w:t>36 miesięcy.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 xml:space="preserve">Czas reakcji – przystąpienia do usunięcia awarii od chwili jej zgłoszenia max 24 godz. w dni robocze i 48 godz. w dni wolne </w:t>
            </w:r>
            <w:r w:rsidR="00AF712F"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>i święta.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Tak/ podać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Wykonawca zapewni dostępność części zamie</w:t>
            </w:r>
            <w:r>
              <w:rPr>
                <w:rFonts w:ascii="Times New Roman" w:hAnsi="Times New Roman"/>
                <w:sz w:val="20"/>
                <w:szCs w:val="20"/>
              </w:rPr>
              <w:t>nnych i akcesoriów przez okres 10</w:t>
            </w:r>
            <w:r w:rsidRPr="00BD6459">
              <w:rPr>
                <w:rFonts w:ascii="Times New Roman" w:hAnsi="Times New Roman"/>
                <w:sz w:val="20"/>
                <w:szCs w:val="20"/>
              </w:rPr>
              <w:t xml:space="preserve"> lat.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1C4" w:rsidRPr="00BD6459" w:rsidTr="009E21C4">
        <w:trPr>
          <w:cantSplit/>
        </w:trPr>
        <w:tc>
          <w:tcPr>
            <w:tcW w:w="534" w:type="dxa"/>
            <w:shd w:val="clear" w:color="auto" w:fill="auto"/>
          </w:tcPr>
          <w:p w:rsidR="009E21C4" w:rsidRPr="00BD6459" w:rsidRDefault="009E21C4" w:rsidP="000004C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1C4" w:rsidRPr="00BD6459" w:rsidRDefault="009E21C4" w:rsidP="000004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Przegląd techniczny w okresie trwania gwarancji na koszt własny Wykonawcy.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E21C4" w:rsidRPr="00BD6459" w:rsidRDefault="009E21C4" w:rsidP="000004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6459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2312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9E21C4" w:rsidRPr="00BD6459" w:rsidRDefault="009E21C4" w:rsidP="000004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40CE" w:rsidRPr="00BD6459" w:rsidTr="00975F87">
        <w:trPr>
          <w:cantSplit/>
        </w:trPr>
        <w:tc>
          <w:tcPr>
            <w:tcW w:w="534" w:type="dxa"/>
            <w:shd w:val="clear" w:color="auto" w:fill="auto"/>
          </w:tcPr>
          <w:p w:rsidR="007340CE" w:rsidRPr="00BD6459" w:rsidRDefault="007340CE" w:rsidP="007340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CE" w:rsidRPr="00FD172B" w:rsidRDefault="007340CE" w:rsidP="007340C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Autoryzowane lub posiadające stosowne uprawnienia punkty serwisowe na terenie Polski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CE" w:rsidRPr="00FD172B" w:rsidRDefault="007340CE" w:rsidP="007340CE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</w:rPr>
            </w:pPr>
            <w:r w:rsidRPr="00FD172B">
              <w:rPr>
                <w:rFonts w:ascii="Times New Roman" w:hAnsi="Times New Roman"/>
              </w:rPr>
              <w:t xml:space="preserve">Tak/ </w:t>
            </w:r>
            <w:r w:rsidRPr="005F301C">
              <w:rPr>
                <w:rFonts w:ascii="Times New Roman" w:hAnsi="Times New Roman"/>
                <w:sz w:val="18"/>
                <w:szCs w:val="18"/>
              </w:rPr>
              <w:t>podać nazwę i adres</w:t>
            </w:r>
          </w:p>
        </w:tc>
        <w:tc>
          <w:tcPr>
            <w:tcW w:w="2312" w:type="dxa"/>
            <w:shd w:val="clear" w:color="auto" w:fill="auto"/>
          </w:tcPr>
          <w:p w:rsidR="007340CE" w:rsidRPr="00BD6459" w:rsidRDefault="007340CE" w:rsidP="007340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340CE" w:rsidRPr="00BD6459" w:rsidRDefault="007340CE" w:rsidP="00734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40CE" w:rsidRPr="00BD6459" w:rsidTr="00975F87">
        <w:trPr>
          <w:cantSplit/>
        </w:trPr>
        <w:tc>
          <w:tcPr>
            <w:tcW w:w="534" w:type="dxa"/>
            <w:shd w:val="clear" w:color="auto" w:fill="auto"/>
          </w:tcPr>
          <w:p w:rsidR="007340CE" w:rsidRPr="00BD6459" w:rsidRDefault="007340CE" w:rsidP="007340C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CE" w:rsidRPr="00FD172B" w:rsidRDefault="007340CE" w:rsidP="007340CE">
            <w:pPr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172B">
              <w:rPr>
                <w:rFonts w:ascii="Times New Roman" w:hAnsi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CE" w:rsidRPr="00FD172B" w:rsidRDefault="007340CE" w:rsidP="007340CE">
            <w:pPr>
              <w:tabs>
                <w:tab w:val="left" w:pos="5400"/>
                <w:tab w:val="left" w:pos="6100"/>
              </w:tabs>
              <w:rPr>
                <w:rFonts w:ascii="Times New Roman" w:hAnsi="Times New Roman"/>
                <w:sz w:val="18"/>
                <w:szCs w:val="18"/>
              </w:rPr>
            </w:pPr>
            <w:r w:rsidRPr="00FD17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podać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D172B">
              <w:rPr>
                <w:rFonts w:ascii="Arial Narrow" w:eastAsia="Times New Roman" w:hAnsi="Arial Narrow"/>
                <w:color w:val="000000"/>
                <w:sz w:val="18"/>
                <w:szCs w:val="18"/>
                <w:lang w:eastAsia="pl-PL"/>
              </w:rPr>
              <w:t>(fakultatywnie):</w:t>
            </w:r>
            <w:r w:rsidRPr="00FD172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12" w:type="dxa"/>
            <w:shd w:val="clear" w:color="auto" w:fill="auto"/>
          </w:tcPr>
          <w:p w:rsidR="007340CE" w:rsidRPr="00BD6459" w:rsidRDefault="007340CE" w:rsidP="007340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979" w:type="dxa"/>
            <w:shd w:val="clear" w:color="auto" w:fill="auto"/>
          </w:tcPr>
          <w:p w:rsidR="007340CE" w:rsidRPr="00BD6459" w:rsidRDefault="007340CE" w:rsidP="007340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E21C4" w:rsidRDefault="009E21C4" w:rsidP="009E21C4">
      <w:pPr>
        <w:ind w:right="-35"/>
        <w:rPr>
          <w:sz w:val="18"/>
          <w:szCs w:val="18"/>
        </w:rPr>
      </w:pPr>
    </w:p>
    <w:p w:rsidR="00AF712F" w:rsidRDefault="00AF712F" w:rsidP="009E21C4">
      <w:pPr>
        <w:ind w:right="-35"/>
        <w:rPr>
          <w:sz w:val="18"/>
          <w:szCs w:val="18"/>
        </w:rPr>
      </w:pPr>
    </w:p>
    <w:p w:rsidR="00AF712F" w:rsidRDefault="00AF712F" w:rsidP="009E21C4">
      <w:pPr>
        <w:ind w:right="-35"/>
        <w:rPr>
          <w:sz w:val="18"/>
          <w:szCs w:val="18"/>
        </w:rPr>
      </w:pPr>
    </w:p>
    <w:p w:rsidR="00EF7624" w:rsidRDefault="00EF7624" w:rsidP="009E21C4">
      <w:pPr>
        <w:ind w:right="-35"/>
        <w:rPr>
          <w:sz w:val="18"/>
          <w:szCs w:val="18"/>
        </w:rPr>
      </w:pPr>
      <w:bookmarkStart w:id="0" w:name="_GoBack"/>
      <w:bookmarkEnd w:id="0"/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>...................................</w:t>
      </w:r>
      <w:r w:rsidRPr="00BD6459">
        <w:rPr>
          <w:rFonts w:ascii="Times New Roman" w:hAnsi="Times New Roman"/>
        </w:rPr>
        <w:tab/>
        <w:t xml:space="preserve">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BD6459">
        <w:rPr>
          <w:rFonts w:ascii="Times New Roman" w:hAnsi="Times New Roman"/>
        </w:rPr>
        <w:t>....................................................</w:t>
      </w:r>
    </w:p>
    <w:p w:rsidR="009E21C4" w:rsidRPr="00BD6459" w:rsidRDefault="009E21C4" w:rsidP="009E21C4">
      <w:pPr>
        <w:pStyle w:val="Bezodstpw"/>
        <w:rPr>
          <w:rFonts w:ascii="Times New Roman" w:hAnsi="Times New Roman"/>
        </w:rPr>
      </w:pPr>
      <w:r w:rsidRPr="00BD6459">
        <w:rPr>
          <w:rFonts w:ascii="Times New Roman" w:hAnsi="Times New Roman"/>
        </w:rPr>
        <w:t xml:space="preserve">               data                                                                                       pieczątka i podpis Wykonawcy</w:t>
      </w:r>
    </w:p>
    <w:p w:rsidR="009E21C4" w:rsidRPr="00AF712F" w:rsidRDefault="009E21C4" w:rsidP="00AF712F">
      <w:pPr>
        <w:spacing w:after="0" w:line="360" w:lineRule="auto"/>
        <w:ind w:right="467"/>
        <w:jc w:val="both"/>
        <w:rPr>
          <w:rFonts w:ascii="Times New Roman" w:hAnsi="Times New Roman"/>
          <w:sz w:val="20"/>
          <w:szCs w:val="20"/>
        </w:rPr>
      </w:pPr>
      <w:r w:rsidRPr="00AF712F">
        <w:rPr>
          <w:rFonts w:ascii="Times New Roman" w:eastAsia="Batang" w:hAnsi="Times New Roman"/>
          <w:bCs/>
          <w:sz w:val="20"/>
          <w:szCs w:val="20"/>
        </w:rPr>
        <w:t>UWAGI:</w:t>
      </w:r>
      <w:r w:rsidRPr="00AF712F">
        <w:rPr>
          <w:rFonts w:ascii="Times New Roman" w:hAnsi="Times New Roman"/>
          <w:sz w:val="20"/>
          <w:szCs w:val="20"/>
        </w:rPr>
        <w:t xml:space="preserve"> </w:t>
      </w:r>
    </w:p>
    <w:p w:rsidR="007340CE" w:rsidRPr="00FD172B" w:rsidRDefault="007340CE" w:rsidP="007340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7340CE" w:rsidRPr="00FD172B" w:rsidRDefault="007340CE" w:rsidP="007340CE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</w:pPr>
      <w:r w:rsidRPr="00FD172B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eastAsia="pl-PL"/>
        </w:rPr>
        <w:t xml:space="preserve">2. Brak opisu traktowany będzie jako brak danego parametru w oferowanej konfiguracji urządzenia.                                                    </w:t>
      </w:r>
      <w:r w:rsidRPr="00FD172B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eastAsia="pl-PL"/>
        </w:rPr>
        <w:t>3. Oświadczam, że oferowany przedmiot zamówienia spełnia wszystkie powyższe wymagania Zamawiającego.</w:t>
      </w:r>
    </w:p>
    <w:p w:rsidR="009E21C4" w:rsidRDefault="009E21C4" w:rsidP="009E21C4"/>
    <w:p w:rsidR="005037CB" w:rsidRDefault="005037CB"/>
    <w:sectPr w:rsidR="005037CB" w:rsidSect="0050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Times New Roman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F11B0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21C4"/>
    <w:rsid w:val="00163778"/>
    <w:rsid w:val="0028065C"/>
    <w:rsid w:val="002C4CA3"/>
    <w:rsid w:val="003D247B"/>
    <w:rsid w:val="005037CB"/>
    <w:rsid w:val="007340CE"/>
    <w:rsid w:val="00940B4A"/>
    <w:rsid w:val="009E21C4"/>
    <w:rsid w:val="00AF712F"/>
    <w:rsid w:val="00BE1063"/>
    <w:rsid w:val="00CF0E02"/>
    <w:rsid w:val="00E0269D"/>
    <w:rsid w:val="00E440D2"/>
    <w:rsid w:val="00EF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EBAB9D-759F-4D06-B98B-11F66423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21C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21C4"/>
    <w:pPr>
      <w:ind w:left="720"/>
      <w:contextualSpacing/>
    </w:pPr>
  </w:style>
  <w:style w:type="character" w:customStyle="1" w:styleId="Domylnaczcionkaakapitu1">
    <w:name w:val="Domyślna czcionka akapitu1"/>
    <w:rsid w:val="009E21C4"/>
  </w:style>
  <w:style w:type="paragraph" w:styleId="Bezodstpw">
    <w:name w:val="No Spacing"/>
    <w:uiPriority w:val="1"/>
    <w:qFormat/>
    <w:rsid w:val="009E21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9E21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1378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18</cp:revision>
  <cp:lastPrinted>2017-08-14T06:59:00Z</cp:lastPrinted>
  <dcterms:created xsi:type="dcterms:W3CDTF">2017-08-12T13:40:00Z</dcterms:created>
  <dcterms:modified xsi:type="dcterms:W3CDTF">2017-10-01T18:02:00Z</dcterms:modified>
</cp:coreProperties>
</file>